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140" w:rsidP="00074140" w:rsidRDefault="00074140" w14:paraId="661DC24E" w14:textId="77777777">
      <w:r w:rsidRPr="00074140">
        <w:rPr>
          <w:b/>
          <w:bCs/>
          <w:lang w:val="en-US"/>
        </w:rPr>
        <w:t xml:space="preserve">01 </w:t>
      </w:r>
      <w:r w:rsidRPr="00074140">
        <w:rPr>
          <w:b/>
          <w:bCs/>
        </w:rPr>
        <w:t>Build-to-Last: Designing a Bulletproof Youth Organisation</w:t>
      </w:r>
      <w:r w:rsidRPr="00074140">
        <w:rPr>
          <w:b/>
          <w:bCs/>
        </w:rPr>
        <w:br/>
      </w:r>
      <w:r w:rsidRPr="00074140">
        <w:t>This training session explores how youth organisations can strengthen their financial governance, strategy and resilience to remain sustainable over the long term. It is delivered by Neal Howard Ltd, a specialist consultancy supporting charities and social organisations with financial management, governance and business planning.</w:t>
      </w:r>
    </w:p>
    <w:p w:rsidR="00074140" w:rsidP="00074140" w:rsidRDefault="00074140" w14:paraId="2AD5FB67" w14:textId="50E57E80">
      <w:r>
        <w:rPr>
          <w:b/>
          <w:bCs/>
        </w:rPr>
        <w:t xml:space="preserve">02 </w:t>
      </w:r>
      <w:r w:rsidRPr="00074140">
        <w:rPr>
          <w:b/>
          <w:bCs/>
        </w:rPr>
        <w:t>Fundraising and Income Generation: Trends, Shifts and Smart Moves</w:t>
      </w:r>
      <w:r w:rsidRPr="00074140">
        <w:rPr>
          <w:b/>
          <w:bCs/>
        </w:rPr>
        <w:br/>
      </w:r>
      <w:r w:rsidRPr="00074140">
        <w:t>This session explores the changing youth funding landscape, highlighting key trends, pressures and practical ways organisations can focus their time and energy to build income resilience. It is delivered by Participate Projects, a consultancy specialising in strategy, fundraising and income generation for charities and community organisations.</w:t>
      </w:r>
    </w:p>
    <w:p w:rsidR="00074140" w:rsidP="00074140" w:rsidRDefault="00074140" w14:paraId="7B8763F7" w14:textId="77777777">
      <w:r>
        <w:rPr>
          <w:b/>
          <w:bCs/>
        </w:rPr>
        <w:t xml:space="preserve">03 </w:t>
      </w:r>
      <w:r w:rsidRPr="00074140">
        <w:rPr>
          <w:b/>
          <w:bCs/>
        </w:rPr>
        <w:t>Future-Proof Governance: Diversity Adding Value</w:t>
      </w:r>
      <w:r w:rsidRPr="00074140">
        <w:rPr>
          <w:b/>
          <w:bCs/>
        </w:rPr>
        <w:br/>
      </w:r>
      <w:r w:rsidRPr="00074140">
        <w:t>This session explores how more inclusive, representative governance can strengthen decision-making, strategy and impact in youth organisations, with practical reflections on trusteeship and board culture. It is delivered by PG Collective, a consultancy supporting social purpose organisations through transition with a focus on equity, leadership and systems change.</w:t>
      </w:r>
    </w:p>
    <w:p w:rsidR="00074140" w:rsidP="00074140" w:rsidRDefault="00074140" w14:paraId="3A52E89D" w14:textId="77777777">
      <w:r>
        <w:rPr>
          <w:b/>
          <w:bCs/>
        </w:rPr>
        <w:t xml:space="preserve">04 </w:t>
      </w:r>
      <w:r w:rsidRPr="00074140">
        <w:rPr>
          <w:b/>
          <w:bCs/>
        </w:rPr>
        <w:t>HYPE SQUAD: Youth</w:t>
      </w:r>
      <w:r w:rsidRPr="00074140">
        <w:rPr>
          <w:b/>
          <w:bCs/>
        </w:rPr>
        <w:noBreakHyphen/>
        <w:t>Led Marketing That Works</w:t>
      </w:r>
      <w:r w:rsidRPr="00074140">
        <w:rPr>
          <w:b/>
          <w:bCs/>
        </w:rPr>
        <w:br/>
      </w:r>
      <w:r w:rsidRPr="00074140">
        <w:t>This session explores how involving young people directly in marketing leads to more authentic, trusted and effective engagement, with practical ideas for building peer</w:t>
      </w:r>
      <w:r w:rsidRPr="00074140">
        <w:noBreakHyphen/>
        <w:t>to</w:t>
      </w:r>
      <w:r w:rsidRPr="00074140">
        <w:noBreakHyphen/>
        <w:t>peer, social</w:t>
      </w:r>
      <w:r w:rsidRPr="00074140">
        <w:noBreakHyphen/>
        <w:t>first campaigns. It is delivered by Eastside People, a social purpose consultancy supporting organisations to strengthen impact, engagement and sustainability.</w:t>
      </w:r>
    </w:p>
    <w:p w:rsidR="00074140" w:rsidP="00074140" w:rsidRDefault="00074140" w14:paraId="4D360E11" w14:textId="2E21C4CE">
      <w:r>
        <w:rPr>
          <w:b/>
          <w:bCs/>
        </w:rPr>
        <w:t xml:space="preserve">05 </w:t>
      </w:r>
      <w:r w:rsidRPr="00074140">
        <w:rPr>
          <w:b/>
          <w:bCs/>
        </w:rPr>
        <w:t>Change Is Coming: An Emotional and Practical Guide to Leading Change</w:t>
      </w:r>
      <w:r w:rsidRPr="00074140">
        <w:rPr>
          <w:b/>
          <w:bCs/>
        </w:rPr>
        <w:br/>
      </w:r>
      <w:r w:rsidRPr="00074140">
        <w:t>This session explores the realities of leading organisational change in social and youth organisations, combining practical frameworks with a focus on relationships, culture and the emotional impact of change. It is delivered by Eastside People, a social purpose consultancy supporting organisations to navigate transition, leadership and sustainability.</w:t>
      </w:r>
    </w:p>
    <w:p w:rsidR="00074140" w:rsidP="00074140" w:rsidRDefault="00074140" w14:paraId="5DBF3578" w14:textId="77777777">
      <w:r>
        <w:rPr>
          <w:b/>
          <w:bCs/>
        </w:rPr>
        <w:t xml:space="preserve">06 </w:t>
      </w:r>
      <w:r w:rsidRPr="00074140">
        <w:rPr>
          <w:b/>
          <w:bCs/>
        </w:rPr>
        <w:t>Strategic Plan on a Page</w:t>
      </w:r>
      <w:r w:rsidRPr="00074140">
        <w:rPr>
          <w:b/>
          <w:bCs/>
        </w:rPr>
        <w:br/>
      </w:r>
      <w:r w:rsidRPr="00074140">
        <w:t>This practical tool shows how youth organisations can capture their strategy, finances, operations and impact on a single page to support clearer planning and decision</w:t>
      </w:r>
      <w:r w:rsidRPr="00074140">
        <w:noBreakHyphen/>
        <w:t>making. It was developed by Neal Howard Ltd, a consultancy specialising in financial management, governance and strategic planning for charities and youth organisations.</w:t>
      </w:r>
    </w:p>
    <w:p w:rsidR="00074140" w:rsidP="00074140" w:rsidRDefault="00074140" w14:paraId="21D87A43" w14:textId="0F76B889">
      <w:r>
        <w:rPr>
          <w:b/>
          <w:bCs/>
        </w:rPr>
        <w:t xml:space="preserve">07 </w:t>
      </w:r>
      <w:r w:rsidRPr="00074140">
        <w:rPr>
          <w:b/>
          <w:bCs/>
        </w:rPr>
        <w:t>Still Reaching the Same People? Growing Your Supporter Communities</w:t>
      </w:r>
      <w:r w:rsidRPr="00074140">
        <w:rPr>
          <w:b/>
          <w:bCs/>
        </w:rPr>
        <w:br/>
      </w:r>
      <w:r w:rsidRPr="00074140">
        <w:t>This session shares practical, low</w:t>
      </w:r>
      <w:r w:rsidRPr="00074140">
        <w:noBreakHyphen/>
        <w:t xml:space="preserve">pressure approaches to help youth organisations grow their audiences by building community, clarifying messages and increasing sustainable visibility. It is delivered by Eastside People, a social purpose consultancy </w:t>
      </w:r>
      <w:r w:rsidRPr="00074140">
        <w:lastRenderedPageBreak/>
        <w:t>supporting organisations to strengthen engagement, income and long</w:t>
      </w:r>
      <w:r w:rsidRPr="00074140">
        <w:noBreakHyphen/>
        <w:t>term sustainability.</w:t>
      </w:r>
    </w:p>
    <w:p w:rsidR="00074140" w:rsidP="00074140" w:rsidRDefault="00074140" w14:paraId="066EBB29" w14:textId="77777777">
      <w:r>
        <w:rPr>
          <w:b/>
          <w:bCs/>
        </w:rPr>
        <w:t xml:space="preserve">08 </w:t>
      </w:r>
      <w:r w:rsidRPr="00074140">
        <w:rPr>
          <w:b/>
          <w:bCs/>
        </w:rPr>
        <w:t>Xero, Budgets and Financial Management: Tips, Tricks and Q&amp;A</w:t>
      </w:r>
      <w:r w:rsidRPr="00074140">
        <w:rPr>
          <w:b/>
          <w:bCs/>
        </w:rPr>
        <w:br/>
      </w:r>
      <w:r w:rsidRPr="00074140">
        <w:t>This practical session offers guidance on using Xero and other accounting systems effectively, covering budgeting, cashflow forecasting, board reporting and preparing for upcoming SORP and FRS102 changes. It is delivered by Neal Howard Ltd, a specialist consultancy supporting charities and youth organisations with financial management, governance and sustainability.</w:t>
      </w:r>
    </w:p>
    <w:p w:rsidR="00074140" w:rsidP="00074140" w:rsidRDefault="00074140" w14:paraId="5821993E" w14:textId="48040C2C">
      <w:r>
        <w:rPr>
          <w:b/>
          <w:bCs/>
        </w:rPr>
        <w:t xml:space="preserve">09 </w:t>
      </w:r>
      <w:r w:rsidRPr="00074140">
        <w:rPr>
          <w:b/>
          <w:bCs/>
        </w:rPr>
        <w:t>25 Building Mistakes We Make – and How to Avoid Them</w:t>
      </w:r>
      <w:r w:rsidRPr="00074140">
        <w:rPr>
          <w:b/>
          <w:bCs/>
        </w:rPr>
        <w:br/>
      </w:r>
      <w:r w:rsidRPr="00074140">
        <w:t>This practical session explores common challenges youth organisations face when taking on and managing buildings, from compliance and maintenance to costs, space use and income generation, with lessons drawn from real experience. It is delivered by Eastside People, a social purpose consultancy supporting organisations to make better use of assets and buildings to strengthen sustainability and impac</w:t>
      </w:r>
      <w:r>
        <w:t xml:space="preserve">t. </w:t>
      </w:r>
    </w:p>
    <w:p w:rsidR="00074140" w:rsidP="00074140" w:rsidRDefault="00074140" w14:paraId="3A0E7EC3" w14:textId="77777777">
      <w:r>
        <w:rPr>
          <w:b/>
          <w:bCs/>
        </w:rPr>
        <w:t xml:space="preserve">10 </w:t>
      </w:r>
      <w:r w:rsidRPr="00074140">
        <w:rPr>
          <w:b/>
          <w:bCs/>
        </w:rPr>
        <w:t>Trading Income: Creative Approaches to Earned Income</w:t>
      </w:r>
      <w:r w:rsidRPr="00074140">
        <w:rPr>
          <w:b/>
          <w:bCs/>
        </w:rPr>
        <w:br/>
      </w:r>
      <w:r w:rsidRPr="00074140">
        <w:t>This session explores how youth organisations can develop and grow trading income, sharing practical models, creative examples and guidance on doing it sustainably and within the rules. It is delivered by Participate Projects, a consultancy specialising in income generation, enterprise and strategic support for charities and community organisations.</w:t>
      </w:r>
    </w:p>
    <w:p w:rsidR="00074140" w:rsidP="00074140" w:rsidRDefault="00074140" w14:paraId="196BF64B" w14:textId="77777777">
      <w:r>
        <w:rPr>
          <w:b/>
          <w:bCs/>
        </w:rPr>
        <w:t xml:space="preserve">11 </w:t>
      </w:r>
      <w:r w:rsidRPr="00074140">
        <w:rPr>
          <w:b/>
          <w:bCs/>
        </w:rPr>
        <w:t>Planning to Win: Realistic Strategies That Resource Your Mission</w:t>
      </w:r>
      <w:r w:rsidRPr="00074140">
        <w:rPr>
          <w:b/>
          <w:bCs/>
        </w:rPr>
        <w:br/>
      </w:r>
      <w:r w:rsidRPr="00074140">
        <w:t>This session explores how organisations can develop clear, achievable strategies that align purpose, resources and capacity, while responding to real</w:t>
      </w:r>
      <w:r w:rsidRPr="00074140">
        <w:noBreakHyphen/>
        <w:t>world pressures and funder expectations. It is delivered by PG Collective, a consultancy supporting social purpose organisations with strategic planning, leadership and sustainable change.</w:t>
      </w:r>
    </w:p>
    <w:p w:rsidR="00074140" w:rsidP="00074140" w:rsidRDefault="00074140" w14:paraId="6C57A52F" w14:textId="77777777">
      <w:r>
        <w:rPr>
          <w:b/>
          <w:bCs/>
        </w:rPr>
        <w:t xml:space="preserve">12 </w:t>
      </w:r>
      <w:r w:rsidRPr="00074140">
        <w:rPr>
          <w:b/>
          <w:bCs/>
        </w:rPr>
        <w:t>What Is Your Building Really Costing You?</w:t>
      </w:r>
      <w:r w:rsidRPr="00074140">
        <w:rPr>
          <w:b/>
          <w:bCs/>
        </w:rPr>
        <w:br/>
      </w:r>
      <w:r w:rsidRPr="00074140">
        <w:t>This session helps youth organisations understand the true costs of running and maintaining buildings, including hidden, long</w:t>
      </w:r>
      <w:r w:rsidRPr="00074140">
        <w:noBreakHyphen/>
        <w:t>term and climate</w:t>
      </w:r>
      <w:r w:rsidRPr="00074140">
        <w:noBreakHyphen/>
        <w:t>related costs, and how to reduce risk and improve value for money. It is delivered by Community Land Use &amp; 2MD, specialists in community buildings, neighbourhood planning and sustainable asset management.</w:t>
      </w:r>
    </w:p>
    <w:p w:rsidR="00074140" w:rsidP="00074140" w:rsidRDefault="00074140" w14:paraId="5FE3033D" w14:textId="77777777">
      <w:r>
        <w:rPr>
          <w:b/>
          <w:bCs/>
        </w:rPr>
        <w:t xml:space="preserve">13 </w:t>
      </w:r>
      <w:r w:rsidRPr="00074140">
        <w:rPr>
          <w:b/>
          <w:bCs/>
        </w:rPr>
        <w:t>Why No</w:t>
      </w:r>
      <w:r w:rsidRPr="00074140">
        <w:rPr>
          <w:b/>
          <w:bCs/>
        </w:rPr>
        <w:noBreakHyphen/>
        <w:t>One Remembers Your Organisation – and What to Do About It</w:t>
      </w:r>
      <w:r w:rsidRPr="00074140">
        <w:rPr>
          <w:b/>
          <w:bCs/>
        </w:rPr>
        <w:br/>
      </w:r>
      <w:r w:rsidRPr="00074140">
        <w:t>This session explores how youth organisations can cut through the noise by clarifying their story, strengthening their brand and communicating what makes them distinctive, using storytelling and a clear USP. It is delivered by Eastside People, a social purpose consultancy supporting organisations to improve their communications, visibility and impact.</w:t>
      </w:r>
    </w:p>
    <w:p w:rsidR="00074140" w:rsidP="00074140" w:rsidRDefault="00074140" w14:paraId="510C6FC1" w14:textId="77777777">
      <w:r>
        <w:rPr>
          <w:b/>
          <w:bCs/>
        </w:rPr>
        <w:lastRenderedPageBreak/>
        <w:t xml:space="preserve">14 </w:t>
      </w:r>
      <w:r w:rsidRPr="00074140">
        <w:rPr>
          <w:b/>
          <w:bCs/>
        </w:rPr>
        <w:t>Full Cost Recovery: Building Costs Calculation Template</w:t>
      </w:r>
      <w:r w:rsidRPr="00074140">
        <w:rPr>
          <w:b/>
          <w:bCs/>
        </w:rPr>
        <w:br/>
      </w:r>
      <w:r w:rsidRPr="00074140">
        <w:t>This practical template helps organisations understand and calculate the true fixed costs of running a building, enabling more accurate pricing for hire, rentals and funding applications. It is provided by Community Land Use &amp; 2MD, specialists in community buildings, asset management and sustainable use of community spaces.</w:t>
      </w:r>
    </w:p>
    <w:p w:rsidR="00074140" w:rsidP="00074140" w:rsidRDefault="00074140" w14:paraId="54CCD2DA" w14:textId="0396C57E">
      <w:r>
        <w:rPr>
          <w:b/>
          <w:bCs/>
        </w:rPr>
        <w:t xml:space="preserve">14 </w:t>
      </w:r>
      <w:r w:rsidRPr="00074140">
        <w:rPr>
          <w:b/>
          <w:bCs/>
        </w:rPr>
        <w:t>Full Cost Recovery: Are You Charging Enough?</w:t>
      </w:r>
      <w:r w:rsidRPr="00074140">
        <w:rPr>
          <w:b/>
          <w:bCs/>
        </w:rPr>
        <w:br/>
      </w:r>
      <w:r w:rsidRPr="00074140">
        <w:t>This session helps organisations understand and calculate the full fixed costs of running a building, and how to ensure these are properly covered through hire charges, funding applications and fundraising. It is delivered by Community Land Use &amp; 2MD, specialists in community buildings, neighbourhood planning and sustainable asset management.</w:t>
      </w:r>
    </w:p>
    <w:p w:rsidRPr="00074140" w:rsidR="00074140" w:rsidP="00074140" w:rsidRDefault="00074140" w14:paraId="65EA600D" w14:textId="77777777">
      <w:pPr>
        <w:rPr>
          <w:b/>
          <w:bCs/>
        </w:rPr>
      </w:pPr>
      <w:r>
        <w:rPr>
          <w:b/>
          <w:bCs/>
        </w:rPr>
        <w:t xml:space="preserve">15 </w:t>
      </w:r>
      <w:r w:rsidRPr="00074140">
        <w:rPr>
          <w:b/>
          <w:bCs/>
        </w:rPr>
        <w:t>Why Your Last Grant Failed – and How to Fix It</w:t>
      </w:r>
    </w:p>
    <w:p w:rsidR="00074140" w:rsidP="00074140" w:rsidRDefault="00074140" w14:paraId="3EF2B447" w14:textId="6B73CF67">
      <w:r w:rsidRPr="00074140">
        <w:t>This session explores the most common reasons grant applications are rejected and offers practical guidance on strengthening bids, from evidence of need and impact to budgets, clarity and eligibility. It is delivered by Participate Projects, a consultancy specialising in fundraising, income strategy and organisational development for charities and community organisations.</w:t>
      </w:r>
    </w:p>
    <w:p w:rsidR="00074140" w:rsidP="00074140" w:rsidRDefault="00074140" w14:paraId="2D440755" w14:textId="62487A52">
      <w:r>
        <w:rPr>
          <w:b/>
          <w:bCs/>
        </w:rPr>
        <w:t xml:space="preserve">16 </w:t>
      </w:r>
      <w:r w:rsidRPr="00074140">
        <w:rPr>
          <w:b/>
          <w:bCs/>
        </w:rPr>
        <w:t>Cashflow Forecasts and Management: How to Know You’re Running Out of Money</w:t>
      </w:r>
      <w:r w:rsidRPr="00074140">
        <w:rPr>
          <w:b/>
          <w:bCs/>
        </w:rPr>
        <w:br/>
      </w:r>
      <w:r w:rsidRPr="00074140">
        <w:t>This session provides practical tools and guidance to help organisations forecast and manage cashflow, understand reserves and identify risks early, including how to respond to potential cashflow crises. It is delivered by Neal Howard Ltd, a specialist consultancy supporting charities and youth organisations with financial management, governance and sustainability.</w:t>
      </w:r>
    </w:p>
    <w:p w:rsidR="00074140" w:rsidP="00074140" w:rsidRDefault="00074140" w14:paraId="167955AC" w14:textId="533F858D">
      <w:r>
        <w:rPr>
          <w:b/>
          <w:bCs/>
        </w:rPr>
        <w:t xml:space="preserve">17 </w:t>
      </w:r>
      <w:r w:rsidRPr="00074140">
        <w:rPr>
          <w:b/>
          <w:bCs/>
        </w:rPr>
        <w:t>SORP 2026: Changes Made Simple</w:t>
      </w:r>
      <w:r w:rsidRPr="00074140">
        <w:rPr>
          <w:b/>
          <w:bCs/>
        </w:rPr>
        <w:br/>
      </w:r>
      <w:r w:rsidRPr="00074140">
        <w:t>This session provides a clear overview of the upcoming Charities SORP 2026 changes, highlighting what’s new and what YIF</w:t>
      </w:r>
      <w:r w:rsidRPr="00074140">
        <w:noBreakHyphen/>
        <w:t>funded organisations need to prepare for, including reporting tiers, income recognition and leases. It is delivered by Neal Howard Ltd, specialists in charity accounting, financial management and governance support for the youth and voluntary sector.</w:t>
      </w:r>
    </w:p>
    <w:p w:rsidRPr="00074140" w:rsidR="00074140" w:rsidP="00074140" w:rsidRDefault="00074140" w14:paraId="49D43882" w14:textId="5BE241D5">
      <w:pPr>
        <w:rPr>
          <w:b w:val="1"/>
          <w:bCs w:val="1"/>
        </w:rPr>
      </w:pPr>
      <w:r w:rsidRPr="7C270D28" w:rsidR="692FB6A9">
        <w:rPr>
          <w:b w:val="1"/>
          <w:bCs w:val="1"/>
        </w:rPr>
        <w:t xml:space="preserve">18 </w:t>
      </w:r>
      <w:r w:rsidRPr="7C270D28" w:rsidR="692FB6A9">
        <w:rPr>
          <w:b w:val="1"/>
          <w:bCs w:val="1"/>
        </w:rPr>
        <w:t>Year End and Getting Ready for Audit or Independent Examination</w:t>
      </w:r>
      <w:r>
        <w:br/>
      </w:r>
      <w:r w:rsidR="692FB6A9">
        <w:rPr/>
        <w:t>This session guides organisations through year</w:t>
      </w:r>
      <w:r w:rsidR="692FB6A9">
        <w:rPr/>
        <w:t xml:space="preserve">end preparation, including audit and independent examination requirements, trustees’ annual reports, key </w:t>
      </w:r>
      <w:r w:rsidR="692FB6A9">
        <w:rPr/>
        <w:t>disclosures</w:t>
      </w:r>
      <w:r w:rsidR="692FB6A9">
        <w:rPr/>
        <w:t xml:space="preserve"> and the accounting implications of YIF projects. It is delivered by Neal Howard Ltd, specialists in charity accounting, financial </w:t>
      </w:r>
      <w:r w:rsidR="692FB6A9">
        <w:rPr/>
        <w:t>mana</w:t>
      </w:r>
      <w:r w:rsidR="2945552A">
        <w:rPr/>
        <w:t>na</w:t>
      </w:r>
      <w:r w:rsidR="692FB6A9">
        <w:rPr/>
        <w:t>gement</w:t>
      </w:r>
      <w:r w:rsidR="692FB6A9">
        <w:rPr/>
        <w:t xml:space="preserve"> and governance for youth and voluntary sector organisations.</w:t>
      </w:r>
    </w:p>
    <w:p w:rsidRPr="00074140" w:rsidR="00074140" w:rsidP="1B9EC457" w:rsidRDefault="00074140" w14:paraId="1C556139" w14:textId="4E40BB6D">
      <w:p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1B9EC457" w:rsidR="7F65E88C">
        <w:rPr>
          <w:b w:val="1"/>
          <w:bCs w:val="1"/>
        </w:rPr>
        <w:t xml:space="preserve">19 </w:t>
      </w:r>
      <w:r w:rsidRPr="1B9EC457" w:rsidR="7F65E88C">
        <w:rPr>
          <w:rFonts w:ascii="Segoe UI" w:hAnsi="Segoe UI" w:eastAsia="Segoe UI" w:cs="Segoe UI"/>
          <w:b w:val="1"/>
          <w:bCs w:val="1"/>
          <w:i w:val="0"/>
          <w:iCs w:val="0"/>
          <w:noProof w:val="0"/>
          <w:sz w:val="21"/>
          <w:szCs w:val="21"/>
          <w:lang w:val="en-GB"/>
        </w:rPr>
        <w:t>Accounting for Youth Investment Funded Assets</w:t>
      </w:r>
      <w:r>
        <w:br/>
      </w:r>
      <w:r w:rsidRPr="1B9EC457" w:rsidR="7F65E88C">
        <w:rPr>
          <w:rFonts w:ascii="Segoe UI" w:hAnsi="Segoe UI" w:eastAsia="Segoe UI" w:cs="Segoe UI"/>
          <w:b w:val="0"/>
          <w:bCs w:val="0"/>
          <w:i w:val="0"/>
          <w:iCs w:val="0"/>
          <w:noProof w:val="0"/>
          <w:sz w:val="21"/>
          <w:szCs w:val="21"/>
          <w:lang w:val="en-GB"/>
        </w:rPr>
        <w:t xml:space="preserve"> This </w:t>
      </w:r>
      <w:r w:rsidRPr="1B9EC457" w:rsidR="7F65E88C">
        <w:rPr>
          <w:rFonts w:ascii="Aptos" w:hAnsi="Aptos" w:eastAsia="Aptos" w:cs="" w:asciiTheme="minorAscii" w:hAnsiTheme="minorAscii" w:eastAsiaTheme="minorAscii" w:cstheme="minorBidi"/>
          <w:b w:val="0"/>
          <w:bCs w:val="0"/>
          <w:i w:val="0"/>
          <w:iCs w:val="0"/>
          <w:noProof w:val="0"/>
          <w:color w:val="auto"/>
          <w:sz w:val="21"/>
          <w:szCs w:val="21"/>
          <w:lang w:val="en-GB" w:eastAsia="en-US" w:bidi="ar-SA"/>
        </w:rPr>
        <w:t>guidance</w:t>
      </w:r>
      <w:r w:rsidRPr="1B9EC457" w:rsidR="7F65E88C">
        <w:rPr>
          <w:rFonts w:ascii="Segoe UI" w:hAnsi="Segoe UI" w:eastAsia="Segoe UI" w:cs="Segoe UI"/>
          <w:b w:val="0"/>
          <w:bCs w:val="0"/>
          <w:i w:val="0"/>
          <w:iCs w:val="0"/>
          <w:noProof w:val="0"/>
          <w:sz w:val="21"/>
          <w:szCs w:val="21"/>
          <w:lang w:val="en-GB"/>
        </w:rPr>
        <w:t xml:space="preserve"> sets out how charities, CICs and other social enterprises should account for YIF‑funded buildings and assets, covering grant conditions, fund accounting, depreciation, leases, SORP 2026 changes and external scrutiny. It is written by </w:t>
      </w:r>
      <w:r w:rsidRPr="1B9EC457" w:rsidR="7F65E88C">
        <w:rPr>
          <w:rFonts w:ascii="Segoe UI" w:hAnsi="Segoe UI" w:eastAsia="Segoe UI" w:cs="Segoe UI"/>
          <w:b w:val="1"/>
          <w:bCs w:val="1"/>
          <w:i w:val="0"/>
          <w:iCs w:val="0"/>
          <w:noProof w:val="0"/>
          <w:sz w:val="21"/>
          <w:szCs w:val="21"/>
          <w:lang w:val="en-GB"/>
        </w:rPr>
        <w:t>Neal Howard Ltd</w:t>
      </w:r>
      <w:r w:rsidRPr="1B9EC457" w:rsidR="7F65E88C">
        <w:rPr>
          <w:rFonts w:ascii="Segoe UI" w:hAnsi="Segoe UI" w:eastAsia="Segoe UI" w:cs="Segoe UI"/>
          <w:b w:val="0"/>
          <w:bCs w:val="0"/>
          <w:i w:val="0"/>
          <w:iCs w:val="0"/>
          <w:noProof w:val="0"/>
          <w:sz w:val="21"/>
          <w:szCs w:val="21"/>
          <w:lang w:val="en-GB"/>
        </w:rPr>
        <w:t xml:space="preserve"> and provides practical reference support for organisations following completion of their YIF projects</w:t>
      </w:r>
      <w:r w:rsidRPr="1B9EC457" w:rsidR="7F65E88C">
        <w:rPr>
          <w:rFonts w:ascii="Aptos" w:hAnsi="Aptos" w:eastAsia="Aptos" w:cs="Aptos" w:asciiTheme="minorAscii" w:hAnsiTheme="minorAscii" w:eastAsiaTheme="minorAscii" w:cstheme="minorAscii"/>
          <w:b w:val="0"/>
          <w:bCs w:val="0"/>
          <w:i w:val="0"/>
          <w:iCs w:val="0"/>
          <w:noProof w:val="0"/>
          <w:sz w:val="24"/>
          <w:szCs w:val="24"/>
          <w:lang w:val="en-GB"/>
        </w:rPr>
        <w:t xml:space="preserve">. </w:t>
      </w:r>
    </w:p>
    <w:p w:rsidRPr="00074140" w:rsidR="00074140" w:rsidP="00074140" w:rsidRDefault="00074140" w14:paraId="02182CB1" w14:textId="6AD0048D">
      <w:pPr>
        <w:rPr>
          <w:b w:val="1"/>
          <w:bCs w:val="1"/>
        </w:rPr>
      </w:pPr>
    </w:p>
    <w:p w:rsidRPr="00074140" w:rsidR="00074140" w:rsidP="00074140" w:rsidRDefault="00074140" w14:paraId="64DC4BD8" w14:textId="47D86826">
      <w:pPr>
        <w:rPr>
          <w:b/>
          <w:bCs/>
        </w:rPr>
      </w:pPr>
    </w:p>
    <w:p w:rsidRPr="00074140" w:rsidR="00074140" w:rsidP="0BEAB0D2" w:rsidRDefault="00074140" w14:paraId="3415E6C5" w14:textId="2237EF3B">
      <w:pPr>
        <w:spacing w:before="0" w:beforeAutospacing="off" w:after="0" w:afterAutospacing="off" w:line="300" w:lineRule="auto"/>
      </w:pPr>
      <w:r w:rsidRPr="0BEAB0D2" w:rsidR="15998ECE">
        <w:rPr>
          <w:rFonts w:ascii="Segoe UI" w:hAnsi="Segoe UI" w:eastAsia="Segoe UI" w:cs="Segoe UI"/>
          <w:b w:val="1"/>
          <w:bCs w:val="1"/>
          <w:i w:val="0"/>
          <w:iCs w:val="0"/>
          <w:noProof w:val="0"/>
          <w:sz w:val="21"/>
          <w:szCs w:val="21"/>
          <w:lang w:val="en-GB"/>
        </w:rPr>
        <w:t>20 Greener Facilities Management for Youth Investment Fund Grantees</w:t>
      </w:r>
      <w:r>
        <w:br/>
      </w:r>
      <w:r w:rsidRPr="0BEAB0D2" w:rsidR="15998ECE">
        <w:rPr>
          <w:rFonts w:ascii="Segoe UI" w:hAnsi="Segoe UI" w:eastAsia="Segoe UI" w:cs="Segoe UI"/>
          <w:b w:val="0"/>
          <w:bCs w:val="0"/>
          <w:i w:val="0"/>
          <w:iCs w:val="0"/>
          <w:noProof w:val="0"/>
          <w:sz w:val="21"/>
          <w:szCs w:val="21"/>
          <w:lang w:val="en-GB"/>
        </w:rPr>
        <w:t xml:space="preserve"> This practical guide supports YIF‑funded organisations to manage and </w:t>
      </w:r>
      <w:r w:rsidRPr="0BEAB0D2" w:rsidR="15998ECE">
        <w:rPr>
          <w:rFonts w:ascii="Segoe UI" w:hAnsi="Segoe UI" w:eastAsia="Segoe UI" w:cs="Segoe UI"/>
          <w:b w:val="0"/>
          <w:bCs w:val="0"/>
          <w:i w:val="0"/>
          <w:iCs w:val="0"/>
          <w:noProof w:val="0"/>
          <w:sz w:val="21"/>
          <w:szCs w:val="21"/>
          <w:lang w:val="en-GB"/>
        </w:rPr>
        <w:t>maintain</w:t>
      </w:r>
      <w:r w:rsidRPr="0BEAB0D2" w:rsidR="15998ECE">
        <w:rPr>
          <w:rFonts w:ascii="Segoe UI" w:hAnsi="Segoe UI" w:eastAsia="Segoe UI" w:cs="Segoe UI"/>
          <w:b w:val="0"/>
          <w:bCs w:val="0"/>
          <w:i w:val="0"/>
          <w:iCs w:val="0"/>
          <w:noProof w:val="0"/>
          <w:sz w:val="21"/>
          <w:szCs w:val="21"/>
          <w:lang w:val="en-GB"/>
        </w:rPr>
        <w:t xml:space="preserve"> buildings and outdoor spaces in environmentally sustainable, legally </w:t>
      </w:r>
      <w:r w:rsidRPr="0BEAB0D2" w:rsidR="15998ECE">
        <w:rPr>
          <w:rFonts w:ascii="Segoe UI" w:hAnsi="Segoe UI" w:eastAsia="Segoe UI" w:cs="Segoe UI"/>
          <w:b w:val="0"/>
          <w:bCs w:val="0"/>
          <w:i w:val="0"/>
          <w:iCs w:val="0"/>
          <w:noProof w:val="0"/>
          <w:sz w:val="21"/>
          <w:szCs w:val="21"/>
          <w:lang w:val="en-GB"/>
        </w:rPr>
        <w:t>compliant</w:t>
      </w:r>
      <w:r w:rsidRPr="0BEAB0D2" w:rsidR="15998ECE">
        <w:rPr>
          <w:rFonts w:ascii="Segoe UI" w:hAnsi="Segoe UI" w:eastAsia="Segoe UI" w:cs="Segoe UI"/>
          <w:b w:val="0"/>
          <w:bCs w:val="0"/>
          <w:i w:val="0"/>
          <w:iCs w:val="0"/>
          <w:noProof w:val="0"/>
          <w:sz w:val="21"/>
          <w:szCs w:val="21"/>
          <w:lang w:val="en-GB"/>
        </w:rPr>
        <w:t xml:space="preserve"> and cost‑effective ways, with checklists, </w:t>
      </w:r>
      <w:r w:rsidRPr="0BEAB0D2" w:rsidR="15998ECE">
        <w:rPr>
          <w:rFonts w:ascii="Segoe UI" w:hAnsi="Segoe UI" w:eastAsia="Segoe UI" w:cs="Segoe UI"/>
          <w:b w:val="0"/>
          <w:bCs w:val="0"/>
          <w:i w:val="0"/>
          <w:iCs w:val="0"/>
          <w:noProof w:val="0"/>
          <w:sz w:val="21"/>
          <w:szCs w:val="21"/>
          <w:lang w:val="en-GB"/>
        </w:rPr>
        <w:t>guidance</w:t>
      </w:r>
      <w:r w:rsidRPr="0BEAB0D2" w:rsidR="15998ECE">
        <w:rPr>
          <w:rFonts w:ascii="Segoe UI" w:hAnsi="Segoe UI" w:eastAsia="Segoe UI" w:cs="Segoe UI"/>
          <w:b w:val="0"/>
          <w:bCs w:val="0"/>
          <w:i w:val="0"/>
          <w:iCs w:val="0"/>
          <w:noProof w:val="0"/>
          <w:sz w:val="21"/>
          <w:szCs w:val="21"/>
          <w:lang w:val="en-GB"/>
        </w:rPr>
        <w:t xml:space="preserve"> and real‑world examples. It was developed by </w:t>
      </w:r>
      <w:r w:rsidRPr="0BEAB0D2" w:rsidR="15998ECE">
        <w:rPr>
          <w:rFonts w:ascii="Segoe UI" w:hAnsi="Segoe UI" w:eastAsia="Segoe UI" w:cs="Segoe UI"/>
          <w:b w:val="0"/>
          <w:bCs w:val="0"/>
          <w:i w:val="0"/>
          <w:iCs w:val="0"/>
          <w:noProof w:val="0"/>
          <w:sz w:val="21"/>
          <w:szCs w:val="21"/>
          <w:lang w:val="en-GB"/>
        </w:rPr>
        <w:t>Community Land Use</w:t>
      </w:r>
      <w:r w:rsidRPr="0BEAB0D2" w:rsidR="15998ECE">
        <w:rPr>
          <w:rFonts w:ascii="Segoe UI" w:hAnsi="Segoe UI" w:eastAsia="Segoe UI" w:cs="Segoe UI"/>
          <w:b w:val="0"/>
          <w:bCs w:val="0"/>
          <w:i w:val="0"/>
          <w:iCs w:val="0"/>
          <w:noProof w:val="0"/>
          <w:sz w:val="21"/>
          <w:szCs w:val="21"/>
          <w:lang w:val="en-GB"/>
        </w:rPr>
        <w:t xml:space="preserve"> for YIF Central Support to help organisations protect assets, reduce environmental </w:t>
      </w:r>
      <w:r w:rsidRPr="0BEAB0D2" w:rsidR="15998ECE">
        <w:rPr>
          <w:rFonts w:ascii="Segoe UI" w:hAnsi="Segoe UI" w:eastAsia="Segoe UI" w:cs="Segoe UI"/>
          <w:b w:val="0"/>
          <w:bCs w:val="0"/>
          <w:i w:val="0"/>
          <w:iCs w:val="0"/>
          <w:noProof w:val="0"/>
          <w:sz w:val="21"/>
          <w:szCs w:val="21"/>
          <w:lang w:val="en-GB"/>
        </w:rPr>
        <w:t>impact</w:t>
      </w:r>
      <w:r w:rsidRPr="0BEAB0D2" w:rsidR="15998ECE">
        <w:rPr>
          <w:rFonts w:ascii="Segoe UI" w:hAnsi="Segoe UI" w:eastAsia="Segoe UI" w:cs="Segoe UI"/>
          <w:b w:val="0"/>
          <w:bCs w:val="0"/>
          <w:i w:val="0"/>
          <w:iCs w:val="0"/>
          <w:noProof w:val="0"/>
          <w:sz w:val="21"/>
          <w:szCs w:val="21"/>
          <w:lang w:val="en-GB"/>
        </w:rPr>
        <w:t xml:space="preserve"> and strengthen long‑term sustainability.</w:t>
      </w:r>
    </w:p>
    <w:p w:rsidRPr="00074140" w:rsidR="00074140" w:rsidP="00074140" w:rsidRDefault="00074140" w14:paraId="3859BE41" w14:textId="15D2D577">
      <w:pPr>
        <w:rPr>
          <w:b w:val="1"/>
          <w:bCs w:val="1"/>
        </w:rPr>
      </w:pPr>
    </w:p>
    <w:p w:rsidRPr="00074140" w:rsidR="00074140" w:rsidP="7C270D28" w:rsidRDefault="00074140" w14:paraId="26818D06" w14:textId="410940BC">
      <w:pPr>
        <w:spacing w:before="0" w:beforeAutospacing="off" w:after="0" w:afterAutospacing="off" w:line="300" w:lineRule="auto"/>
      </w:pPr>
      <w:r w:rsidRPr="7C270D28" w:rsidR="3E819901">
        <w:rPr>
          <w:b w:val="1"/>
          <w:bCs w:val="1"/>
        </w:rPr>
        <w:t xml:space="preserve">21 </w:t>
      </w:r>
      <w:r w:rsidRPr="7C270D28" w:rsidR="0EE1A4C6">
        <w:rPr>
          <w:b w:val="1"/>
          <w:bCs w:val="1"/>
        </w:rPr>
        <w:t>Bright Sparks Recruitment - 8 Module Training Series</w:t>
      </w:r>
    </w:p>
    <w:p w:rsidRPr="00074140" w:rsidR="00074140" w:rsidP="7C270D28" w:rsidRDefault="00074140" w14:paraId="0B4D3ECF" w14:textId="7EA4B655">
      <w:pPr>
        <w:spacing w:before="210" w:beforeAutospacing="off" w:after="210" w:afterAutospacing="off" w:line="300" w:lineRule="auto"/>
      </w:pPr>
      <w:r w:rsidRPr="7C270D28" w:rsidR="0EE1A4C6">
        <w:rPr>
          <w:rFonts w:ascii="Segoe UI" w:hAnsi="Segoe UI" w:eastAsia="Segoe UI" w:cs="Segoe UI"/>
          <w:b w:val="0"/>
          <w:bCs w:val="0"/>
          <w:i w:val="0"/>
          <w:iCs w:val="0"/>
          <w:noProof w:val="0"/>
          <w:sz w:val="21"/>
          <w:szCs w:val="21"/>
          <w:lang w:val="en-GB"/>
        </w:rPr>
        <w:t>This 8‑module recruitment training series, commissioned by the Youth Investment Fund and delivered by Bright Sparks Full Recruitment Training, supports organisations to recruit, onboard and retain both staff and volunteers. Each module includes a practical training guide, specialist-led MP4 video, and supporting worksheets and resources.</w:t>
      </w:r>
    </w:p>
    <w:p w:rsidRPr="00074140" w:rsidR="00074140" w:rsidP="7C270D28" w:rsidRDefault="00074140" w14:paraId="4FB0608B" w14:textId="5D6880B2">
      <w:pPr>
        <w:spacing w:before="210" w:beforeAutospacing="off" w:after="210" w:afterAutospacing="off" w:line="300" w:lineRule="auto"/>
      </w:pPr>
      <w:r w:rsidRPr="7C270D28" w:rsidR="0EE1A4C6">
        <w:rPr>
          <w:rFonts w:ascii="Segoe UI" w:hAnsi="Segoe UI" w:eastAsia="Segoe UI" w:cs="Segoe UI"/>
          <w:b w:val="1"/>
          <w:bCs w:val="1"/>
          <w:i w:val="0"/>
          <w:iCs w:val="0"/>
          <w:noProof w:val="0"/>
          <w:sz w:val="21"/>
          <w:szCs w:val="21"/>
          <w:lang w:val="en-GB"/>
        </w:rPr>
        <w:t>Modules:</w:t>
      </w:r>
    </w:p>
    <w:p w:rsidRPr="00074140" w:rsidR="00074140" w:rsidP="7C270D28" w:rsidRDefault="00074140" w14:paraId="46F7539E" w14:textId="690476A7">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Workforce Planning and Role Design</w:t>
      </w:r>
    </w:p>
    <w:p w:rsidRPr="00074140" w:rsidR="00074140" w:rsidP="7C270D28" w:rsidRDefault="00074140" w14:paraId="1472164B" w14:textId="009ACE2A">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Attraction and Employer Value Proposition</w:t>
      </w:r>
    </w:p>
    <w:p w:rsidRPr="00074140" w:rsidR="00074140" w:rsidP="7C270D28" w:rsidRDefault="00074140" w14:paraId="03A7DEC2" w14:textId="6F1171E4">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Selection, Safer Recruitment &amp; Decision-Making</w:t>
      </w:r>
    </w:p>
    <w:p w:rsidRPr="00074140" w:rsidR="00074140" w:rsidP="7C270D28" w:rsidRDefault="00074140" w14:paraId="7A7F5C8B" w14:textId="16E8993D">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Onboarding and Early Retention</w:t>
      </w:r>
    </w:p>
    <w:p w:rsidRPr="00074140" w:rsidR="00074140" w:rsidP="7C270D28" w:rsidRDefault="00074140" w14:paraId="46C2C167" w14:textId="7DFE2A2F">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Role Design and Organisational Readiness</w:t>
      </w:r>
    </w:p>
    <w:p w:rsidRPr="00074140" w:rsidR="00074140" w:rsidP="7C270D28" w:rsidRDefault="00074140" w14:paraId="150256F9" w14:textId="35C965C6">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Attracting and Motivating Volunteers</w:t>
      </w:r>
    </w:p>
    <w:p w:rsidRPr="00074140" w:rsidR="00074140" w:rsidP="7C270D28" w:rsidRDefault="00074140" w14:paraId="0288C1AB" w14:textId="1005750A">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Selection, Safeguarding and Matching</w:t>
      </w:r>
    </w:p>
    <w:p w:rsidRPr="00074140" w:rsidR="00074140" w:rsidP="7C270D28" w:rsidRDefault="00074140" w14:paraId="3921601F" w14:textId="550AF858">
      <w:pPr>
        <w:pStyle w:val="ListParagraph"/>
        <w:numPr>
          <w:ilvl w:val="0"/>
          <w:numId w:val="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C270D28" w:rsidR="0EE1A4C6">
        <w:rPr>
          <w:rFonts w:ascii="Segoe UI" w:hAnsi="Segoe UI" w:eastAsia="Segoe UI" w:cs="Segoe UI"/>
          <w:b w:val="0"/>
          <w:bCs w:val="0"/>
          <w:i w:val="0"/>
          <w:iCs w:val="0"/>
          <w:noProof w:val="0"/>
          <w:sz w:val="21"/>
          <w:szCs w:val="21"/>
          <w:lang w:val="en-GB"/>
        </w:rPr>
        <w:t>Supporting, Retaining and Exiting Volunteers Well</w:t>
      </w:r>
    </w:p>
    <w:p w:rsidRPr="00074140" w:rsidR="00074140" w:rsidP="00074140" w:rsidRDefault="00074140" w14:paraId="58978589" w14:textId="26126B11">
      <w:pPr>
        <w:rPr>
          <w:b w:val="1"/>
          <w:bCs w:val="1"/>
        </w:rPr>
      </w:pPr>
    </w:p>
    <w:p w:rsidRPr="00074140" w:rsidR="00074140" w:rsidP="7C270D28" w:rsidRDefault="00074140" w14:paraId="495DF6F9" w14:textId="45C99ECA">
      <w:pPr>
        <w:spacing w:before="210" w:beforeAutospacing="off" w:after="210" w:afterAutospacing="off" w:line="300" w:lineRule="auto"/>
      </w:pPr>
      <w:r w:rsidRPr="7C270D28" w:rsidR="71C4DE86">
        <w:rPr>
          <w:b w:val="1"/>
          <w:bCs w:val="1"/>
        </w:rPr>
        <w:t xml:space="preserve">22 </w:t>
      </w:r>
      <w:r w:rsidRPr="7C270D28" w:rsidR="4E0719D7">
        <w:rPr>
          <w:b w:val="1"/>
          <w:bCs w:val="1"/>
        </w:rPr>
        <w:t xml:space="preserve">VAT </w:t>
      </w:r>
      <w:r w:rsidRPr="7C270D28" w:rsidR="4E0719D7">
        <w:rPr>
          <w:rFonts w:ascii="Segoe UI" w:hAnsi="Segoe UI" w:eastAsia="Segoe UI" w:cs="Segoe UI"/>
          <w:b w:val="1"/>
          <w:bCs w:val="1"/>
          <w:i w:val="0"/>
          <w:iCs w:val="0"/>
          <w:noProof w:val="0"/>
          <w:sz w:val="21"/>
          <w:szCs w:val="21"/>
          <w:lang w:val="en-GB"/>
        </w:rPr>
        <w:t>Zero‑rating on Capital Build: What Do We Do Next?</w:t>
      </w:r>
    </w:p>
    <w:p w:rsidRPr="00074140" w:rsidR="00074140" w:rsidP="7C270D28" w:rsidRDefault="00074140" w14:paraId="38EEF670" w14:textId="5B4C4DE3">
      <w:pPr>
        <w:spacing w:before="210" w:beforeAutospacing="off" w:after="210" w:afterAutospacing="off" w:line="300" w:lineRule="auto"/>
      </w:pPr>
      <w:r w:rsidRPr="7C270D28" w:rsidR="4E0719D7">
        <w:rPr>
          <w:rFonts w:ascii="Segoe UI" w:hAnsi="Segoe UI" w:eastAsia="Segoe UI" w:cs="Segoe UI"/>
          <w:b w:val="0"/>
          <w:bCs w:val="0"/>
          <w:i w:val="0"/>
          <w:iCs w:val="0"/>
          <w:noProof w:val="0"/>
          <w:sz w:val="21"/>
          <w:szCs w:val="21"/>
          <w:lang w:val="en-GB"/>
        </w:rPr>
        <w:t>This guidance supports organisations that have received VAT zero‑rating on a YIF‑funded capital build, explaining ongoing responsibilities, risks and the 10‑year rule to help protect relief already claimed. It is commissioned by YIF Central Support and delivered by Sayer Vincent, specialist charity accountants advising on VAT and capital projects.</w:t>
      </w:r>
    </w:p>
    <w:p w:rsidRPr="00074140" w:rsidR="00074140" w:rsidP="7C270D28" w:rsidRDefault="00074140" w14:paraId="2963FAE1" w14:textId="48EF92E4">
      <w:pPr>
        <w:spacing w:before="210" w:beforeAutospacing="off" w:after="210" w:afterAutospacing="off" w:line="300" w:lineRule="auto"/>
      </w:pPr>
      <w:r w:rsidRPr="7C270D28" w:rsidR="4E0719D7">
        <w:rPr>
          <w:b w:val="1"/>
          <w:bCs w:val="1"/>
        </w:rPr>
        <w:t xml:space="preserve">23 </w:t>
      </w:r>
      <w:r w:rsidRPr="7C270D28" w:rsidR="4E0719D7">
        <w:rPr>
          <w:rFonts w:ascii="Segoe UI" w:hAnsi="Segoe UI" w:eastAsia="Segoe UI" w:cs="Segoe UI"/>
          <w:b w:val="1"/>
          <w:bCs w:val="1"/>
          <w:i w:val="0"/>
          <w:iCs w:val="0"/>
          <w:noProof w:val="0"/>
          <w:sz w:val="21"/>
          <w:szCs w:val="21"/>
          <w:lang w:val="en-GB"/>
        </w:rPr>
        <w:t>VAT Recovery – Capital Goods Scheme</w:t>
      </w:r>
    </w:p>
    <w:p w:rsidRPr="00074140" w:rsidR="00074140" w:rsidP="7C270D28" w:rsidRDefault="00074140" w14:paraId="441984B1" w14:textId="14AF1C8B">
      <w:pPr>
        <w:spacing w:before="210" w:beforeAutospacing="off" w:after="210" w:afterAutospacing="off" w:line="300" w:lineRule="auto"/>
      </w:pPr>
      <w:r w:rsidRPr="7C270D28" w:rsidR="4E0719D7">
        <w:rPr>
          <w:rFonts w:ascii="Segoe UI" w:hAnsi="Segoe UI" w:eastAsia="Segoe UI" w:cs="Segoe UI"/>
          <w:b w:val="0"/>
          <w:bCs w:val="0"/>
          <w:i w:val="0"/>
          <w:iCs w:val="0"/>
          <w:noProof w:val="0"/>
          <w:sz w:val="21"/>
          <w:szCs w:val="21"/>
          <w:lang w:val="en-GB"/>
        </w:rPr>
        <w:t>This guidance explains how the Capital Goods Scheme affects YIF‑funded building projects over £250,000, helping organisations understand VAT recovery, adjustments and ongoing compliance when building use changes. It is commissioned by the Youth Investment Fund and delivered by Sayer Vincent, specialist charity accountants with expertise in VAT and capital projects.</w:t>
      </w:r>
    </w:p>
    <w:p w:rsidRPr="00074140" w:rsidR="00074140" w:rsidP="00074140" w:rsidRDefault="00074140" w14:paraId="5FCFA840" w14:textId="63BB4D85">
      <w:pPr>
        <w:rPr>
          <w:b w:val="1"/>
          <w:bCs w:val="1"/>
        </w:rPr>
      </w:pPr>
    </w:p>
    <w:p w:rsidRPr="00074140" w:rsidR="00074140" w:rsidP="7C270D28" w:rsidRDefault="00074140" w14:paraId="346E8D5C" w14:textId="34687C07">
      <w:pPr>
        <w:spacing w:before="210" w:beforeAutospacing="off" w:after="210" w:afterAutospacing="off" w:line="300" w:lineRule="auto"/>
      </w:pPr>
      <w:r w:rsidRPr="7C270D28" w:rsidR="4E0719D7">
        <w:rPr>
          <w:b w:val="1"/>
          <w:bCs w:val="1"/>
        </w:rPr>
        <w:t xml:space="preserve">24 </w:t>
      </w:r>
      <w:r w:rsidRPr="7C270D28" w:rsidR="27E2D55D">
        <w:rPr>
          <w:b w:val="1"/>
          <w:bCs w:val="1"/>
        </w:rPr>
        <w:t xml:space="preserve">VAT </w:t>
      </w:r>
      <w:r w:rsidRPr="7C270D28" w:rsidR="4E0719D7">
        <w:rPr>
          <w:rFonts w:ascii="Segoe UI" w:hAnsi="Segoe UI" w:eastAsia="Segoe UI" w:cs="Segoe UI"/>
          <w:b w:val="1"/>
          <w:bCs w:val="1"/>
          <w:i w:val="0"/>
          <w:iCs w:val="0"/>
          <w:noProof w:val="0"/>
          <w:sz w:val="21"/>
          <w:szCs w:val="21"/>
          <w:lang w:val="en-GB"/>
        </w:rPr>
        <w:t>Generating Income – Tax and Accounting</w:t>
      </w:r>
    </w:p>
    <w:p w:rsidRPr="00074140" w:rsidR="00074140" w:rsidP="7C270D28" w:rsidRDefault="00074140" w14:paraId="11AB16C9" w14:textId="58CCED2C">
      <w:pPr>
        <w:spacing w:before="210" w:beforeAutospacing="off" w:after="210" w:afterAutospacing="off" w:line="300" w:lineRule="auto"/>
      </w:pPr>
      <w:r w:rsidRPr="7C270D28" w:rsidR="4E0719D7">
        <w:rPr>
          <w:rFonts w:ascii="Segoe UI" w:hAnsi="Segoe UI" w:eastAsia="Segoe UI" w:cs="Segoe UI"/>
          <w:b w:val="0"/>
          <w:bCs w:val="0"/>
          <w:i w:val="0"/>
          <w:iCs w:val="0"/>
          <w:noProof w:val="0"/>
          <w:sz w:val="21"/>
          <w:szCs w:val="21"/>
          <w:lang w:val="en-GB"/>
        </w:rPr>
        <w:t>This guidance helps organisations understand the tax, VAT and accounting implications of generating income from goods and services, particularly when diversifying activity or using YIF‑funded buildings. It is commissioned by YIF Central Support and delivered by Sayer Vincent, specialist charity accountants with extensive experience supporting the voluntary and youth sector.</w:t>
      </w:r>
    </w:p>
    <w:p w:rsidRPr="00074140" w:rsidR="00074140" w:rsidP="7C270D28" w:rsidRDefault="00074140" w14:paraId="63569AE4" w14:textId="4119B5C7">
      <w:pPr>
        <w:spacing w:before="210" w:beforeAutospacing="off" w:after="210" w:afterAutospacing="off" w:line="300" w:lineRule="auto"/>
      </w:pPr>
      <w:r w:rsidRPr="7C270D28" w:rsidR="4E0719D7">
        <w:rPr>
          <w:b w:val="1"/>
          <w:bCs w:val="1"/>
        </w:rPr>
        <w:t xml:space="preserve">25 </w:t>
      </w:r>
      <w:r w:rsidRPr="7C270D28" w:rsidR="52A0AC45">
        <w:rPr>
          <w:rFonts w:ascii="Segoe UI" w:hAnsi="Segoe UI" w:eastAsia="Segoe UI" w:cs="Segoe UI"/>
          <w:b w:val="1"/>
          <w:bCs w:val="1"/>
          <w:i w:val="0"/>
          <w:iCs w:val="0"/>
          <w:noProof w:val="0"/>
          <w:sz w:val="21"/>
          <w:szCs w:val="21"/>
          <w:lang w:val="en-GB"/>
        </w:rPr>
        <w:t>VAT on Income – An Introduction</w:t>
      </w:r>
    </w:p>
    <w:p w:rsidRPr="00074140" w:rsidR="00074140" w:rsidP="7C270D28" w:rsidRDefault="00074140" w14:paraId="08B25605" w14:textId="333D4C95">
      <w:pPr>
        <w:spacing w:before="210" w:beforeAutospacing="off" w:after="210" w:afterAutospacing="off" w:line="300" w:lineRule="auto"/>
      </w:pPr>
      <w:r w:rsidRPr="7C270D28" w:rsidR="52A0AC45">
        <w:rPr>
          <w:rFonts w:ascii="Segoe UI" w:hAnsi="Segoe UI" w:eastAsia="Segoe UI" w:cs="Segoe UI"/>
          <w:b w:val="0"/>
          <w:bCs w:val="0"/>
          <w:i w:val="0"/>
          <w:iCs w:val="0"/>
          <w:noProof w:val="0"/>
          <w:sz w:val="21"/>
          <w:szCs w:val="21"/>
          <w:lang w:val="en-GB"/>
        </w:rPr>
        <w:t>This guidance helps organisations understand how VAT applies to income from goods and services, including when VAT registration is required and how different income types are classified. It is commissioned by YIF Central Support and delivered by Sayer Vincent, specialist charity accountants with extensive experience advising youth and voluntary sector organisations.</w:t>
      </w:r>
    </w:p>
    <w:p w:rsidRPr="00074140" w:rsidR="00074140" w:rsidP="00074140" w:rsidRDefault="00074140" w14:paraId="21857200" w14:textId="0D5FD111">
      <w:pPr>
        <w:rPr>
          <w:b w:val="1"/>
          <w:bCs w:val="1"/>
        </w:rPr>
      </w:pPr>
    </w:p>
    <w:p w:rsidRPr="00074140" w:rsidR="00074140" w:rsidP="00074140" w:rsidRDefault="00074140" w14:paraId="68E8BAD7" w14:textId="7968F049">
      <w:pPr>
        <w:rPr>
          <w:b/>
          <w:bCs/>
        </w:rPr>
      </w:pPr>
    </w:p>
    <w:p w:rsidRPr="00074140" w:rsidR="00074140" w:rsidP="00074140" w:rsidRDefault="00074140" w14:paraId="62723355" w14:textId="5DD450F8">
      <w:pPr>
        <w:rPr>
          <w:b/>
          <w:bCs/>
        </w:rPr>
      </w:pPr>
    </w:p>
    <w:p w:rsidRPr="00074140" w:rsidR="00074140" w:rsidP="00074140" w:rsidRDefault="00074140" w14:paraId="5105FE12" w14:textId="5921D3F5">
      <w:pPr>
        <w:rPr>
          <w:b/>
          <w:bCs/>
        </w:rPr>
      </w:pPr>
    </w:p>
    <w:p w:rsidRPr="00074140" w:rsidR="00074140" w:rsidP="00074140" w:rsidRDefault="00074140" w14:paraId="22F9ED60" w14:textId="1C00C7E7">
      <w:pPr>
        <w:rPr>
          <w:b/>
          <w:bCs/>
        </w:rPr>
      </w:pPr>
    </w:p>
    <w:p w:rsidRPr="00074140" w:rsidR="00074140" w:rsidP="00074140" w:rsidRDefault="00074140" w14:paraId="77410653" w14:textId="610EBE01">
      <w:pPr>
        <w:rPr>
          <w:b/>
          <w:bCs/>
        </w:rPr>
      </w:pPr>
    </w:p>
    <w:p w:rsidRPr="00074140" w:rsidR="00074140" w:rsidP="00074140" w:rsidRDefault="00074140" w14:paraId="6AAFF7C8" w14:textId="08D730A3">
      <w:pPr>
        <w:rPr>
          <w:b/>
          <w:bCs/>
        </w:rPr>
      </w:pPr>
    </w:p>
    <w:p w:rsidRPr="00074140" w:rsidR="00074140" w:rsidP="00074140" w:rsidRDefault="00074140" w14:paraId="5625A1D5" w14:textId="0B73232D">
      <w:pPr>
        <w:rPr>
          <w:b/>
          <w:bCs/>
        </w:rPr>
      </w:pPr>
    </w:p>
    <w:p w:rsidRPr="00074140" w:rsidR="00074140" w:rsidP="00074140" w:rsidRDefault="00074140" w14:paraId="1FD9E50C" w14:textId="2DC68A1A">
      <w:pPr>
        <w:rPr>
          <w:b/>
          <w:bCs/>
        </w:rPr>
      </w:pPr>
    </w:p>
    <w:p w:rsidRPr="00074140" w:rsidR="00074140" w:rsidP="00074140" w:rsidRDefault="00074140" w14:paraId="5692C324" w14:textId="19B2AF2C">
      <w:pPr>
        <w:rPr>
          <w:b/>
          <w:bCs/>
        </w:rPr>
      </w:pPr>
    </w:p>
    <w:p w:rsidRPr="00074140" w:rsidR="00074140" w:rsidP="00074140" w:rsidRDefault="00074140" w14:paraId="7527B330" w14:textId="1412F4F1">
      <w:pPr>
        <w:rPr>
          <w:b/>
          <w:bCs/>
        </w:rPr>
      </w:pPr>
    </w:p>
    <w:p w:rsidRPr="00074140" w:rsidR="00074140" w:rsidP="00074140" w:rsidRDefault="00074140" w14:paraId="68A4BB0F" w14:textId="6E1A6A18">
      <w:pPr>
        <w:rPr>
          <w:b/>
          <w:bCs/>
        </w:rPr>
      </w:pPr>
    </w:p>
    <w:p w:rsidRPr="00074140" w:rsidR="00FD7FF7" w:rsidRDefault="00FD7FF7" w14:paraId="78A88793" w14:textId="1EB40E98">
      <w:pPr>
        <w:rPr>
          <w:lang w:val="en-US"/>
        </w:rPr>
      </w:pPr>
    </w:p>
    <w:sectPr w:rsidRPr="00074140" w:rsidR="00FD7FF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f722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40"/>
    <w:rsid w:val="00074140"/>
    <w:rsid w:val="001762F7"/>
    <w:rsid w:val="009D38CF"/>
    <w:rsid w:val="00FD7FF7"/>
    <w:rsid w:val="0A933B80"/>
    <w:rsid w:val="0BEAB0D2"/>
    <w:rsid w:val="0EE1A4C6"/>
    <w:rsid w:val="10EC9176"/>
    <w:rsid w:val="15998ECE"/>
    <w:rsid w:val="15EBA13C"/>
    <w:rsid w:val="1B9EC457"/>
    <w:rsid w:val="27E2D55D"/>
    <w:rsid w:val="2945552A"/>
    <w:rsid w:val="3D08DF4F"/>
    <w:rsid w:val="3E819901"/>
    <w:rsid w:val="41FD28A4"/>
    <w:rsid w:val="4A40B440"/>
    <w:rsid w:val="4D1B0FCB"/>
    <w:rsid w:val="4E0719D7"/>
    <w:rsid w:val="4F1E88C6"/>
    <w:rsid w:val="52A0AC45"/>
    <w:rsid w:val="67052DE6"/>
    <w:rsid w:val="692FB6A9"/>
    <w:rsid w:val="71C4DE86"/>
    <w:rsid w:val="7C270D28"/>
    <w:rsid w:val="7F65E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521B"/>
  <w15:chartTrackingRefBased/>
  <w15:docId w15:val="{2C582E67-B408-4C69-A340-42277F26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41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1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14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41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41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41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41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41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41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41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41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4140"/>
    <w:rPr>
      <w:rFonts w:eastAsiaTheme="majorEastAsia" w:cstheme="majorBidi"/>
      <w:color w:val="272727" w:themeColor="text1" w:themeTint="D8"/>
    </w:rPr>
  </w:style>
  <w:style w:type="paragraph" w:styleId="Title">
    <w:name w:val="Title"/>
    <w:basedOn w:val="Normal"/>
    <w:next w:val="Normal"/>
    <w:link w:val="TitleChar"/>
    <w:uiPriority w:val="10"/>
    <w:qFormat/>
    <w:rsid w:val="0007414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41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41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4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140"/>
    <w:pPr>
      <w:spacing w:before="160"/>
      <w:jc w:val="center"/>
    </w:pPr>
    <w:rPr>
      <w:i/>
      <w:iCs/>
      <w:color w:val="404040" w:themeColor="text1" w:themeTint="BF"/>
    </w:rPr>
  </w:style>
  <w:style w:type="character" w:styleId="QuoteChar" w:customStyle="1">
    <w:name w:val="Quote Char"/>
    <w:basedOn w:val="DefaultParagraphFont"/>
    <w:link w:val="Quote"/>
    <w:uiPriority w:val="29"/>
    <w:rsid w:val="00074140"/>
    <w:rPr>
      <w:i/>
      <w:iCs/>
      <w:color w:val="404040" w:themeColor="text1" w:themeTint="BF"/>
    </w:rPr>
  </w:style>
  <w:style w:type="paragraph" w:styleId="ListParagraph">
    <w:name w:val="List Paragraph"/>
    <w:basedOn w:val="Normal"/>
    <w:uiPriority w:val="34"/>
    <w:qFormat/>
    <w:rsid w:val="00074140"/>
    <w:pPr>
      <w:ind w:left="720"/>
      <w:contextualSpacing/>
    </w:pPr>
  </w:style>
  <w:style w:type="character" w:styleId="IntenseEmphasis">
    <w:name w:val="Intense Emphasis"/>
    <w:basedOn w:val="DefaultParagraphFont"/>
    <w:uiPriority w:val="21"/>
    <w:qFormat/>
    <w:rsid w:val="00074140"/>
    <w:rPr>
      <w:i/>
      <w:iCs/>
      <w:color w:val="0F4761" w:themeColor="accent1" w:themeShade="BF"/>
    </w:rPr>
  </w:style>
  <w:style w:type="paragraph" w:styleId="IntenseQuote">
    <w:name w:val="Intense Quote"/>
    <w:basedOn w:val="Normal"/>
    <w:next w:val="Normal"/>
    <w:link w:val="IntenseQuoteChar"/>
    <w:uiPriority w:val="30"/>
    <w:qFormat/>
    <w:rsid w:val="000741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4140"/>
    <w:rPr>
      <w:i/>
      <w:iCs/>
      <w:color w:val="0F4761" w:themeColor="accent1" w:themeShade="BF"/>
    </w:rPr>
  </w:style>
  <w:style w:type="character" w:styleId="IntenseReference">
    <w:name w:val="Intense Reference"/>
    <w:basedOn w:val="DefaultParagraphFont"/>
    <w:uiPriority w:val="32"/>
    <w:qFormat/>
    <w:rsid w:val="00074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15afad2f85041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CAA322037AB469095C6985BF52B53" ma:contentTypeVersion="17" ma:contentTypeDescription="Create a new document." ma:contentTypeScope="" ma:versionID="e686e8fce1e95084e51aed3d790be829">
  <xsd:schema xmlns:xsd="http://www.w3.org/2001/XMLSchema" xmlns:xs="http://www.w3.org/2001/XMLSchema" xmlns:p="http://schemas.microsoft.com/office/2006/metadata/properties" xmlns:ns2="5b139801-4c62-42d1-9a89-fae313456bba" xmlns:ns3="fdde5889-5087-4960-9f90-15960cfd7f33" targetNamespace="http://schemas.microsoft.com/office/2006/metadata/properties" ma:root="true" ma:fieldsID="8be2058727977fad0945c678d90ffe5e" ns2:_="" ns3:_="">
    <xsd:import namespace="5b139801-4c62-42d1-9a89-fae313456bba"/>
    <xsd:import namespace="fdde5889-5087-4960-9f90-15960cfd7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39801-4c62-42d1-9a89-fae313456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81bc1e-36c7-4447-997f-0e942e7727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e5889-5087-4960-9f90-15960cfd7f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1e1d82-cc65-4d19-872a-f68eaf39babd}" ma:internalName="TaxCatchAll" ma:showField="CatchAllData" ma:web="fdde5889-5087-4960-9f90-15960cfd7f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39801-4c62-42d1-9a89-fae313456bba">
      <Terms xmlns="http://schemas.microsoft.com/office/infopath/2007/PartnerControls"/>
    </lcf76f155ced4ddcb4097134ff3c332f>
    <TaxCatchAll xmlns="fdde5889-5087-4960-9f90-15960cfd7f33" xsi:nil="true"/>
  </documentManagement>
</p:properties>
</file>

<file path=customXml/itemProps1.xml><?xml version="1.0" encoding="utf-8"?>
<ds:datastoreItem xmlns:ds="http://schemas.openxmlformats.org/officeDocument/2006/customXml" ds:itemID="{516094BB-D9D7-4FBF-B1BE-46C935F29111}"/>
</file>

<file path=customXml/itemProps2.xml><?xml version="1.0" encoding="utf-8"?>
<ds:datastoreItem xmlns:ds="http://schemas.openxmlformats.org/officeDocument/2006/customXml" ds:itemID="{0D2EEC60-EAFE-42EA-B0E8-8F6EE92881FB}"/>
</file>

<file path=customXml/itemProps3.xml><?xml version="1.0" encoding="utf-8"?>
<ds:datastoreItem xmlns:ds="http://schemas.openxmlformats.org/officeDocument/2006/customXml" ds:itemID="{DAEF461D-3119-40C2-A54F-EAE3402FAB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Preston</dc:creator>
  <keywords/>
  <dc:description/>
  <lastModifiedBy>Jennifer Preston</lastModifiedBy>
  <revision>5</revision>
  <dcterms:created xsi:type="dcterms:W3CDTF">2026-04-13T08:09:00.0000000Z</dcterms:created>
  <dcterms:modified xsi:type="dcterms:W3CDTF">2026-04-13T10:48:01.1538814Z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fbd871f3-18a1-4d18-9678-1847a072b0f4</vt:lpwstr>
  </property>
  <property fmtid="{D5CDD505-2E9C-101B-9397-08002B2CF9AE}" pid="3" name="ContentTypeId">
    <vt:lpwstr>0x0101008F6CAA322037AB469095C6985BF52B53</vt:lpwstr>
  </property>
  <property fmtid="{D5CDD505-2E9C-101B-9397-08002B2CF9AE}" pid="4" name="MediaServiceImageTags">
    <vt:lpwstr/>
  </property>
</Properties>
</file>